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82" w:rsidRPr="00356282" w:rsidRDefault="00356282" w:rsidP="00356282">
      <w:pPr>
        <w:pStyle w:val="NormalWeb"/>
        <w:spacing w:before="0" w:beforeAutospacing="0" w:after="0" w:afterAutospacing="0"/>
      </w:pPr>
      <w:r w:rsidRPr="00356282">
        <w:rPr>
          <w:rFonts w:asciiTheme="minorHAnsi" w:hAnsiTheme="minorHAnsi" w:cstheme="minorHAnsi"/>
          <w:b/>
          <w:color w:val="7030A0"/>
          <w:lang w:val="hu-HU"/>
        </w:rPr>
        <w:t>LTT2-</w:t>
      </w:r>
      <w:r w:rsidRPr="00356282">
        <w:rPr>
          <w:rFonts w:asciiTheme="minorHAnsi" w:eastAsiaTheme="minorEastAsia" w:hAnsi="Calibri" w:cstheme="minorBidi"/>
          <w:b/>
          <w:bCs/>
          <w:color w:val="7030A0"/>
          <w:kern w:val="24"/>
          <w:sz w:val="22"/>
          <w:szCs w:val="22"/>
        </w:rPr>
        <w:t xml:space="preserve"> </w:t>
      </w:r>
      <w:r w:rsidRPr="00356282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Learning, Teaching, Training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 xml:space="preserve">  </w:t>
      </w:r>
      <w:r w:rsidRPr="00356282">
        <w:rPr>
          <w:rFonts w:asciiTheme="minorHAnsi" w:hAnsiTheme="minorHAnsi" w:cstheme="minorHAnsi"/>
          <w:b/>
          <w:color w:val="7030A0"/>
          <w:lang w:val="hu-HU"/>
        </w:rPr>
        <w:t>Szerbia</w:t>
      </w:r>
    </w:p>
    <w:p w:rsidR="00356282" w:rsidRDefault="00356282" w:rsidP="00356282">
      <w:pPr>
        <w:pStyle w:val="HTMLPreformatted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1F1F1F"/>
          <w:lang w:val="hu-HU"/>
        </w:rPr>
      </w:pPr>
    </w:p>
    <w:p w:rsidR="00356282" w:rsidRPr="00A94F97" w:rsidRDefault="00356282" w:rsidP="0035628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2024</w:t>
      </w:r>
      <w:proofErr w:type="gramStart"/>
      <w:r>
        <w:rPr>
          <w:rFonts w:asciiTheme="minorHAnsi" w:hAnsiTheme="minorHAnsi" w:cstheme="minorHAnsi"/>
          <w:sz w:val="20"/>
          <w:szCs w:val="20"/>
        </w:rPr>
        <w:t>.n</w:t>
      </w:r>
      <w:r w:rsidRPr="00991507">
        <w:rPr>
          <w:rFonts w:asciiTheme="minorHAnsi" w:hAnsiTheme="minorHAnsi" w:cstheme="minorHAnsi"/>
          <w:sz w:val="20"/>
          <w:szCs w:val="20"/>
        </w:rPr>
        <w:t>ovember</w:t>
      </w:r>
      <w:proofErr w:type="gramEnd"/>
      <w:r w:rsidRPr="00991507">
        <w:rPr>
          <w:rFonts w:asciiTheme="minorHAnsi" w:hAnsiTheme="minorHAnsi" w:cstheme="minorHAnsi"/>
          <w:sz w:val="20"/>
          <w:szCs w:val="20"/>
        </w:rPr>
        <w:t xml:space="preserve"> 13-a </w:t>
      </w:r>
      <w:r>
        <w:rPr>
          <w:rFonts w:asciiTheme="minorHAnsi" w:hAnsiTheme="minorHAnsi" w:cstheme="minorHAnsi"/>
          <w:sz w:val="20"/>
          <w:szCs w:val="20"/>
        </w:rPr>
        <w:t>és 15-e között Topolyán tartottu</w:t>
      </w:r>
      <w:r w:rsidRPr="00991507">
        <w:rPr>
          <w:rFonts w:asciiTheme="minorHAnsi" w:hAnsiTheme="minorHAnsi" w:cstheme="minorHAnsi"/>
          <w:sz w:val="20"/>
          <w:szCs w:val="20"/>
        </w:rPr>
        <w:t xml:space="preserve">k meg az Erasmus+ EXOTERIC kisléptékű partnerségi együttműködés szerbiai találkozóját. A projekt célja a digitális átállás </w:t>
      </w:r>
      <w:proofErr w:type="gramStart"/>
      <w:r w:rsidRPr="00991507">
        <w:rPr>
          <w:rFonts w:asciiTheme="minorHAnsi" w:hAnsiTheme="minorHAnsi" w:cstheme="minorHAnsi"/>
          <w:sz w:val="20"/>
          <w:szCs w:val="20"/>
        </w:rPr>
        <w:t>az</w:t>
      </w:r>
      <w:proofErr w:type="gramEnd"/>
      <w:r w:rsidRPr="00991507">
        <w:rPr>
          <w:rFonts w:asciiTheme="minorHAnsi" w:hAnsiTheme="minorHAnsi" w:cstheme="minorHAnsi"/>
          <w:sz w:val="20"/>
          <w:szCs w:val="20"/>
        </w:rPr>
        <w:t xml:space="preserve"> állategészségügyi oktatás terén. A találkozón a tanulók </w:t>
      </w:r>
      <w:proofErr w:type="gramStart"/>
      <w:r w:rsidRPr="00991507">
        <w:rPr>
          <w:rFonts w:asciiTheme="minorHAnsi" w:hAnsiTheme="minorHAnsi" w:cstheme="minorHAnsi"/>
          <w:sz w:val="20"/>
          <w:szCs w:val="20"/>
        </w:rPr>
        <w:t>az</w:t>
      </w:r>
      <w:proofErr w:type="gramEnd"/>
      <w:r w:rsidRPr="00991507">
        <w:rPr>
          <w:rFonts w:asciiTheme="minorHAnsi" w:hAnsiTheme="minorHAnsi" w:cstheme="minorHAnsi"/>
          <w:sz w:val="20"/>
          <w:szCs w:val="20"/>
        </w:rPr>
        <w:t xml:space="preserve"> iskola tangazdaságán kívül a bácsföldvári Muzslai-farm vendégei voltak, ahol a robotfej</w:t>
      </w:r>
      <w:r>
        <w:rPr>
          <w:rFonts w:asciiTheme="minorHAnsi" w:hAnsiTheme="minorHAnsi" w:cstheme="minorHAnsi"/>
          <w:sz w:val="20"/>
          <w:szCs w:val="20"/>
        </w:rPr>
        <w:t>és</w:t>
      </w:r>
      <w:r w:rsidRPr="00991507">
        <w:rPr>
          <w:rFonts w:asciiTheme="minorHAnsi" w:hAnsiTheme="minorHAnsi" w:cstheme="minorHAnsi"/>
          <w:sz w:val="20"/>
          <w:szCs w:val="20"/>
        </w:rPr>
        <w:t xml:space="preserve"> működését digitalizálták, majd ellátogattak Újvidékre, megtekintették Péterváradot is. Pénteken csoportos műhelymunkát tartottak </w:t>
      </w:r>
      <w:proofErr w:type="gramStart"/>
      <w:r>
        <w:rPr>
          <w:rFonts w:asciiTheme="minorHAnsi" w:hAnsiTheme="minorHAnsi" w:cstheme="minorHAnsi"/>
          <w:sz w:val="20"/>
          <w:szCs w:val="20"/>
        </w:rPr>
        <w:t>az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iskola konferenciatermében</w:t>
      </w:r>
      <w:r w:rsidRPr="00991507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ahol</w:t>
      </w:r>
      <w:r w:rsidRPr="00991507">
        <w:rPr>
          <w:rFonts w:asciiTheme="minorHAnsi" w:hAnsiTheme="minorHAnsi" w:cstheme="minorHAnsi"/>
          <w:sz w:val="20"/>
          <w:szCs w:val="20"/>
        </w:rPr>
        <w:t xml:space="preserve"> a tanulók szakmai </w:t>
      </w:r>
      <w:r>
        <w:rPr>
          <w:rFonts w:asciiTheme="minorHAnsi" w:hAnsiTheme="minorHAnsi" w:cstheme="minorHAnsi"/>
          <w:sz w:val="20"/>
          <w:szCs w:val="20"/>
        </w:rPr>
        <w:t>digitalis tartalmaka</w:t>
      </w:r>
      <w:r w:rsidRPr="00991507">
        <w:rPr>
          <w:rFonts w:asciiTheme="minorHAnsi" w:hAnsiTheme="minorHAnsi" w:cstheme="minorHAnsi"/>
          <w:sz w:val="20"/>
          <w:szCs w:val="20"/>
        </w:rPr>
        <w:t>t készítettek.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 Erasmus+ Exoteri</w:t>
      </w:r>
      <w:r>
        <w:rPr>
          <w:rFonts w:eastAsia="Times New Roman" w:cstheme="minorHAnsi"/>
          <w:color w:val="080809"/>
          <w:sz w:val="20"/>
          <w:szCs w:val="20"/>
        </w:rPr>
        <w:t xml:space="preserve">c projekt során rendezett LTT-2 </w:t>
      </w:r>
      <w:r w:rsidRPr="00A94F97">
        <w:rPr>
          <w:rFonts w:eastAsia="Times New Roman" w:cstheme="minorHAnsi"/>
          <w:color w:val="080809"/>
          <w:sz w:val="20"/>
          <w:szCs w:val="20"/>
        </w:rPr>
        <w:t>a Topolyán 2024.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november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13-15.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között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 résztvevők az alábbi kompetenciákat fejlesztették: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1. Kompetencia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egész életen át tartó tanuláshoz - a résztvevőknek lehetőségük volt a hagyományostól eltérő módon részt venni a tanulásban. A résztvevőktől elvártuk, hogy tervezzék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meg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tanulási idejüket, szervezzék és irányítsák a tanulási folyamatokat.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Aktívan építsenek tudást; észrevegyék a tananyag -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adott szöveg - szerkezetét, aktívan válasszák ki az ismertet az ismeretlenből, a fontosat a lényegtelenből; az alapgondolat írott szövegben való összefoglalás, kidolgozás képességének fejlesztését.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résztvevőknek hatékonyan kellett alkalmazniuk a különböző tanulási stratégiákat, igazítva azokat a tananyag természetéhez és a tanulási célokhoz.</w:t>
      </w:r>
      <w:proofErr w:type="gramEnd"/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Szükséges volt megfelelő stratégiát választani a szövegolvasáshoz/szövegértéshez.</w:t>
      </w:r>
      <w:proofErr w:type="gramEnd"/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Megkülönböztetni a tényeket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értelmezésektől, attitűdöktől, hiedelmektől és véleményektől; felismerni és érveket állítani elő bizonyos tézisek mellett, az érveket differenciálni erősség és relevanciájuk szerint.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A munka során a résztvevőknek értékelniük kellett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együttműködési munkában elért saját sikereiket, azonosítaniuk kellett a tanulási nehézségeket, és ki kellett találniuk e nehézségek leküzdési módját.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2. Kommunikáció - a műhelymunkák során a romániai és magyarországi résztvevőkkel angolul kommunikáltak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itteni diákok egy része.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műhelymunka végén szélesebb körben is bemutatták munkáikat, a résztvevők mellett iskolánk érdeklődő diákjai is meghallgattá</w:t>
      </w:r>
      <w:r>
        <w:rPr>
          <w:rFonts w:eastAsia="Times New Roman" w:cstheme="minorHAnsi"/>
          <w:color w:val="080809"/>
          <w:sz w:val="20"/>
          <w:szCs w:val="20"/>
        </w:rPr>
        <w:t xml:space="preserve">k ezt az előadást. </w:t>
      </w:r>
      <w:r>
        <w:rPr>
          <w:rFonts w:eastAsia="Times New Roman" w:cstheme="minorHAnsi"/>
          <w:color w:val="080809"/>
          <w:sz w:val="20"/>
          <w:szCs w:val="20"/>
          <w:lang w:val="hu-HU"/>
        </w:rPr>
        <w:t>H</w:t>
      </w:r>
      <w:r w:rsidRPr="00A94F97">
        <w:rPr>
          <w:rFonts w:eastAsia="Times New Roman" w:cstheme="minorHAnsi"/>
          <w:color w:val="080809"/>
          <w:sz w:val="20"/>
          <w:szCs w:val="20"/>
        </w:rPr>
        <w:t>ozzájárultak a párbeszéd és a megbecsülés kultúrájának előmozdításához</w:t>
      </w:r>
      <w:r>
        <w:rPr>
          <w:rFonts w:eastAsia="Times New Roman" w:cstheme="minorHAnsi"/>
          <w:color w:val="080809"/>
          <w:sz w:val="20"/>
          <w:szCs w:val="20"/>
        </w:rPr>
        <w:t>,</w:t>
      </w:r>
      <w:r w:rsidRPr="00A94F97">
        <w:rPr>
          <w:rFonts w:eastAsia="Times New Roman" w:cstheme="minorHAnsi"/>
          <w:color w:val="080809"/>
          <w:sz w:val="20"/>
          <w:szCs w:val="20"/>
        </w:rPr>
        <w:t xml:space="preserve"> a sokszínűség és a kommunikáció alapvető normáinak tiszteletben tartásával.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résztvevőktől elvártuk, hogy a különböző kommunikációs módok sajátos jellemzőit használják (szóbeli és írásbeli, közvetlen és közvetített kommunikáció, pl. telefonon, interneten keresztül).</w:t>
      </w:r>
      <w:proofErr w:type="gramEnd"/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Bizonyos tartalmakat szóban és írásban is világosan ki kellett fejezniük, majd adaptálniuk kellett a helyzet követelményeihez és jellemzőihez: tiszteletben kellett tartani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műfaji jellemzőket, korlátozásokat a hossz, az előadás célja és a közönség igényei tekintetében.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>Természetesen a munka során tisztelni kellett a beszélgetőpartnert - a kommunikáció tartalmára reagálni</w:t>
      </w:r>
      <w:r>
        <w:rPr>
          <w:rFonts w:eastAsia="Times New Roman" w:cstheme="minorHAnsi"/>
          <w:color w:val="080809"/>
          <w:sz w:val="20"/>
          <w:szCs w:val="20"/>
        </w:rPr>
        <w:t>,</w:t>
      </w:r>
      <w:r w:rsidRPr="00A94F97">
        <w:rPr>
          <w:rFonts w:eastAsia="Times New Roman" w:cstheme="minorHAnsi"/>
          <w:color w:val="080809"/>
          <w:sz w:val="20"/>
          <w:szCs w:val="20"/>
        </w:rPr>
        <w:t xml:space="preserve"> nem pedig a beszélgetőpartner személyiségére; azonosítani a beszélgetőpartner pozícióját (szempontját), és képesnek lenni arra, hogy értékelje az érvelés és ellenérv megfelelőségét az adott állásponthoz.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Kommunikációs helyzetben a résztvevők kifejezték hozzáállásukat, véleményüket, érzéseiket, értékeiket és identitásukat pozitív, konstruktív és érvelő módon céljaik elérése és más résztvevők megértésének céljából.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 célok eléréséhez szükséges volt, hogy a </w:t>
      </w:r>
      <w:r>
        <w:rPr>
          <w:rFonts w:eastAsia="Times New Roman" w:cstheme="minorHAnsi"/>
          <w:color w:val="080809"/>
          <w:sz w:val="20"/>
          <w:szCs w:val="20"/>
        </w:rPr>
        <w:t>tanulók</w:t>
      </w:r>
      <w:r w:rsidRPr="00A94F97">
        <w:rPr>
          <w:rFonts w:eastAsia="Times New Roman" w:cstheme="minorHAnsi"/>
          <w:color w:val="080809"/>
          <w:sz w:val="20"/>
          <w:szCs w:val="20"/>
        </w:rPr>
        <w:t xml:space="preserve"> megfelelő és kreatív módon használják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egyes tudományos, műszaki és művészeti tudományágakra, jelen esetben az állatorvoslásra jellemző nyelvezetet és kommunikációs stílust.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3. Adatokkal, információkkal történő munka- műhelymunka során a résztvevőknek eredeti fotókkal illusztrálniuk kellett a megadott szöveget -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adatok grafikus megjelenítésével -, valamint gyakorlati feladatokat kellett kidolgozniuk.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így bemutatott adatokat olvasni, értelmezni és alkalmazni kellett. Információs technológiákat kellett használniuk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adattároláshoz, a bemutatáshoz és az adatok alapvető feldolgozásához. Erősítették tapasztalataikat arról, hogy különbséget tegyenek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adatok és azok értelmezése között, tudván, hogy ugyanazok az adatok -a kontextustól függően- eltérő értelmezést kaphatnak, és az értelmezések elfogultak is lehetnek.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4. Digitális kompetencia - a résztvevők számos internetes eszközt megismertek és használtak - Canva, Worldwall stb. Megfelelő IKT-eszközök (eszközök, szoftvertermékek és elektronikus szolgáltatások) segítségével kellett adatokat rögzíteniük, keresniük, értékelniük relevancia és megbízhatóság alapján, elemezni és rendszerezni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információkat elektronikus formában.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 xml:space="preserve">Elektronikus formában, megfelelő IKT eszközök segítségével fejezték ki magukat, beleértve a multimédiás kifejezést és a használt IKT eszközökre jellemző formálisan meghatározott jelölések elemeivel történő kifejezést (például címek, lekérdezések, parancsok, képletek, eljárások stb. </w:t>
      </w:r>
      <w:r>
        <w:rPr>
          <w:rFonts w:eastAsia="Times New Roman" w:cstheme="minorHAnsi"/>
          <w:color w:val="080809"/>
          <w:sz w:val="20"/>
          <w:szCs w:val="20"/>
        </w:rPr>
        <w:t>megfelelő jelöléssel kifejezve)</w:t>
      </w:r>
      <w:r w:rsidRPr="00A94F97"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Az IKT segítségével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adott IKT eszköz lehetőségeit hatékonyan tudták bemutatni, rendszerezni, strukturálni, formázni. A problémák megoldása során a megfelelő IKT-eszközöket ki tudták választani, valamint a problémamegoldás módszerét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adott IKT-eszközök képességeihez tudták igazítani. Hatékonyan használták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IKT-t a kommunikációhoz és az együttműködéshez. Felhívtuk a figyelmüket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IKT használatának kockázataira és veszélyeire. Ezzel kapcsolatban felelősségteljesen kellett eljárniuk úgy, hogy soha ne hagyjanak személyes adatokat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interneten.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lastRenderedPageBreak/>
        <w:t>5. Problémamegoldás - a résztvevők sikeresen vá</w:t>
      </w:r>
      <w:r>
        <w:rPr>
          <w:rFonts w:eastAsia="Times New Roman" w:cstheme="minorHAnsi"/>
          <w:color w:val="080809"/>
          <w:sz w:val="20"/>
          <w:szCs w:val="20"/>
        </w:rPr>
        <w:t xml:space="preserve">laszoltak arra a kihívásra, </w:t>
      </w:r>
      <w:proofErr w:type="gramStart"/>
      <w:r>
        <w:rPr>
          <w:rFonts w:eastAsia="Times New Roman" w:cstheme="minorHAnsi"/>
          <w:color w:val="080809"/>
          <w:sz w:val="20"/>
          <w:szCs w:val="20"/>
        </w:rPr>
        <w:t xml:space="preserve">hogy </w:t>
      </w:r>
      <w:r w:rsidRPr="00A94F97">
        <w:rPr>
          <w:rFonts w:eastAsia="Times New Roman" w:cstheme="minorHAnsi"/>
          <w:color w:val="080809"/>
          <w:sz w:val="20"/>
          <w:szCs w:val="20"/>
        </w:rPr>
        <w:t xml:space="preserve"> tudományosan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pontos és esztétikus oktatási bemutatót készítsenek internetes eszközökkel. A problémahelyzet vizsgálatával a résztvevők azonosították a problémahelyzet korlátait és lényeges jellemzőit, illetve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meg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kellett érteniük, hogy ezek hogyan kapcsolódnak egymáshoz.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Ezután a tanulók megtalálták/kitalálták a lehetséges megoldásokat a problémahelyzetre.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csoportmunkában a tanulók releváns szempontok alapján hasonlították össze a problémahelyzet különböző lehetséges megoldásait, el kellett magyarázniuk a különböző megoldások előnyeit és hátrányait, és jobb megoldást kellett választaniuk.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 hallgatók felkészültek a választott megoldás alkalmazására, követték annak alkalmazását igazodva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adott megoldás alkalmazása során megszerzett új ismereteikhez, és így sikerült megoldani a problémahelyzetet. A következő időszakban a résztvevők értékelik a megvalósított megoldást, azonosítják annak jó és gyenge oldalait, és javaslatokat fogalmaznak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meg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az esetlegessen ismétlődő problémahelyzettel megegyező vagy hasonló problémahelyzet esetén.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6. Együttműködés - a résztvevők csapatban oldották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meg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 feladatokat.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Ez megkövetelte a résztvevőktől, hogy konstruktívan, érvelően és kreatívan járuljanak hozzá a csoport munkájához, a közös célok összehangolásához és eléréséhez.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Hozzájáruljanak a közös munka szabályairól való megegyezéshez és a közös munka során betartják azokat.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Aktívan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meg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kellett hallgatniuk és fel kellett tenniük a releváns kérdéseket, tiszteletben tartva a beszélgetőpartnereket és az együttműködőket, és a vitát érvekre kellett alapozni.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résztvevők konstruktívan hozzájárultak a vélemény- és attitűdkülönbségek feloldásához, és ezzel a csoport egyenrangú tagjaiként tisztelik a többi résztvevőt.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műhelymunka sikeres lebonyolításához szükséges volt, hogy a résztvevők felelősségteljesen, kitartóan és kreatívan vegyenek részt a vállalt kötelezettségek megvalósításában a csoportmunka keretében.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résztvevők részt vettek a csoport munkájának kritikus, indokolt és konstruktív áttekintésében, és hozzájárultak a csoport munkájának javításához a feladatok megvalósítása érdekében.</w:t>
      </w:r>
      <w:proofErr w:type="gramEnd"/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7. Felelősségteljes részvétel egy demokratikus társadalomban - a munkavégzés módjáról a résztvevők közösen döntöttek. A résztvevők mások tiszteletével aktívan részt vettek iskolánk és közösségünk életében, kifejezve ezáltal, hogy a résztvevők egyformán értékes autonóm személyek, valamint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erőszak és a diszkrimináció minden formájának elkerülésével.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résztvevők tevékenységükkel megerősítették a tolerancia szellemét, egyenlőséget és párbeszédet.</w:t>
      </w:r>
      <w:proofErr w:type="gramEnd"/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Kritikusan és érvelően részt vettek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őket érdeklő nyitott kérdések megvitatásában, tiszteletben tartva a nézet- és érdekkülönbségeket, személyesen is hozzájárulva a megállapodáshoz.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A résztvevők nagyfokú összetartozásukat fejezték ki saját kulturális közösségeikhez, a régióhoz, ahol élnek, a tágabb társadalomhoz,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országhoz, ahonnan származnak.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Megerősítő módon fejezték ki identitásukat, tiszteletben tartva a különböző kultúrákat és hagyományokat, és ezzel hozzájárultak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interkulturalitás szelleméhez.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8. Felelősségteljes hozzáállás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egészséghez - kiemelt figyelmet fordítottunk a munkavédelmi eszközök használatára, amikor a résztvevők biológiai anyaggal érintkeztek.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9. Felelősségteljes hozzáállás a környezethez - szelektíven gyűjtöttük a hulladékot és Erasmus+ fát ültettünk. Ezel a résztvevők megmutatták, hogy értik az egészséges és biztonságos környezet (víz, levegő, talaj) fogalmát az emberek életében, és készek aktívan részt venni a közösség életminőségének védelme és javítása érdekében, megértést és hajlandóságot mutatni a természetvédelemmel és erőforrás - gazdálkodással, hogy a jövő generációinak lehetősége ne kerüljön veszélybe. A résztvevők felmérték egyes anyagok használatának kockázatait és előnyeit a környezetre valamint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emberi egészségre, és felelősségteljesen kezelték azokat (megfelelően tárolták, a hulladékot ártalmatlanították). Megmutatták, hogy megértik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újrahasznosítás fontosságát és kihasználják ennek lehetőségeit.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10. Esztétikai kompetencia -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előadások amellett, hogy oktató jellegűek, esztétikailag nagyon kifejezőek. A résztvevő pozitívan értékeli a kultúra és a művészet hozzájárulását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emberi közösség fejlődéséhez; tisztában van a kultúra, a tudomány, a művészet és a technológia kölcsönös hatásával.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A résztvevők érzékenységet mutattak a mindennapi élet esztétikai dimenziója iránt, és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azt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>, hogy kritikusan viszonyulnak az esztétika felhasználásához és az azzal való visszaélésekhez.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Kimutatták, hogy beépített preferenciáik vannak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művészeti és kulturális stílusok iránt, és ezeket használják személyes élményeik gazdagításához.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r w:rsidRPr="00A94F97">
        <w:rPr>
          <w:rFonts w:eastAsia="Times New Roman" w:cstheme="minorHAnsi"/>
          <w:color w:val="080809"/>
          <w:sz w:val="20"/>
          <w:szCs w:val="20"/>
        </w:rPr>
        <w:t xml:space="preserve">11. Vállalkozás és vállalkozásorientáció - a projekt során tanulmányi látogatást tettünk Szerbia legnagyobb családi szarvasmarhatelepén.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 résztvevők ezzel kifejezték, hogy megértik a személyes aktivizálás fontosságát, és kezdeményezőkészséget mutattak a közeljövő munkaerő piaci jellemzőinek (egyéni munkakörök követelményei, a farmok jövőbeni működési módjai, elhelyezkedés követelményeiről a várható munkaerőpiacon, a mezőgazdasági vállalkozások jövőbeli irányáról).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A résztvevők nagyfokú megértést mutattak a munkaerőpiac működésének alapelveihez, és megértették </w:t>
      </w: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az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életen át tartó tanulás szükségességét a munkaerőpiac fejlődésének és a munkáltatók igényeinek kielégításe érdekében.</w:t>
      </w:r>
    </w:p>
    <w:p w:rsidR="00356282" w:rsidRPr="00A94F97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t>A</w:t>
      </w:r>
      <w:proofErr w:type="gramEnd"/>
      <w:r w:rsidRPr="00A94F97">
        <w:rPr>
          <w:rFonts w:eastAsia="Times New Roman" w:cstheme="minorHAnsi"/>
          <w:color w:val="080809"/>
          <w:sz w:val="20"/>
          <w:szCs w:val="20"/>
        </w:rPr>
        <w:t xml:space="preserve"> műhelymun</w:t>
      </w:r>
      <w:r>
        <w:rPr>
          <w:rFonts w:eastAsia="Times New Roman" w:cstheme="minorHAnsi"/>
          <w:color w:val="080809"/>
          <w:sz w:val="20"/>
          <w:szCs w:val="20"/>
        </w:rPr>
        <w:t>ka során a résztvevőktől elvártu</w:t>
      </w:r>
      <w:r w:rsidRPr="00A94F97">
        <w:rPr>
          <w:rFonts w:eastAsia="Times New Roman" w:cstheme="minorHAnsi"/>
          <w:color w:val="080809"/>
          <w:sz w:val="20"/>
          <w:szCs w:val="20"/>
        </w:rPr>
        <w:t>k, hogy a nyilvános beszéd, tárgyalási és konfliktusmegoldó készség fejlesztése révén képesek legyenek gondolataikat kifejezni és képviselni, másokat befolyásolni.</w:t>
      </w:r>
    </w:p>
    <w:p w:rsidR="00356282" w:rsidRDefault="00356282" w:rsidP="0035628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</w:rPr>
      </w:pPr>
      <w:proofErr w:type="gramStart"/>
      <w:r w:rsidRPr="00A94F97">
        <w:rPr>
          <w:rFonts w:eastAsia="Times New Roman" w:cstheme="minorHAnsi"/>
          <w:color w:val="080809"/>
          <w:sz w:val="20"/>
          <w:szCs w:val="20"/>
        </w:rPr>
        <w:lastRenderedPageBreak/>
        <w:t>Kifejezhették a megfelelő és reális célok kitűzésének képességét, a célok értékelésével és</w:t>
      </w:r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r w:rsidRPr="00A94F97">
        <w:rPr>
          <w:rFonts w:eastAsia="Times New Roman" w:cstheme="minorHAnsi"/>
          <w:color w:val="080809"/>
          <w:sz w:val="20"/>
          <w:szCs w:val="20"/>
        </w:rPr>
        <w:t>kockázatok megértésével; megtervezték és kezelték a rendelkezésre álló erőforrásokat (tudást és készségeket, időt, technol</w:t>
      </w:r>
      <w:r>
        <w:rPr>
          <w:rFonts w:eastAsia="Times New Roman" w:cstheme="minorHAnsi"/>
          <w:color w:val="080809"/>
          <w:sz w:val="20"/>
          <w:szCs w:val="20"/>
        </w:rPr>
        <w:t>ógiákat és egyéb erőforrásokat)</w:t>
      </w:r>
      <w:r w:rsidRPr="00A94F97">
        <w:rPr>
          <w:rFonts w:eastAsia="Times New Roman" w:cstheme="minorHAnsi"/>
          <w:color w:val="080809"/>
          <w:sz w:val="20"/>
          <w:szCs w:val="20"/>
        </w:rPr>
        <w:t xml:space="preserve"> és a célok elérésére összpontosítanak.</w:t>
      </w:r>
      <w:proofErr w:type="gramEnd"/>
    </w:p>
    <w:p w:rsidR="00356282" w:rsidRPr="00356282" w:rsidRDefault="00356282" w:rsidP="00356282">
      <w:pPr>
        <w:rPr>
          <w:sz w:val="20"/>
          <w:szCs w:val="20"/>
          <w:lang w:val="sr-Cyrl-RS"/>
        </w:rPr>
      </w:pPr>
      <w:proofErr w:type="gramStart"/>
      <w:r>
        <w:rPr>
          <w:sz w:val="20"/>
          <w:szCs w:val="20"/>
        </w:rPr>
        <w:t xml:space="preserve">Sor került </w:t>
      </w:r>
      <w:r w:rsidRPr="00356282">
        <w:rPr>
          <w:sz w:val="20"/>
          <w:szCs w:val="20"/>
        </w:rPr>
        <w:t xml:space="preserve">egy eTwinning </w:t>
      </w:r>
      <w:r>
        <w:rPr>
          <w:sz w:val="20"/>
          <w:szCs w:val="20"/>
        </w:rPr>
        <w:t>projektmunka megbeszélésére</w:t>
      </w:r>
      <w:r w:rsidRPr="00356282">
        <w:rPr>
          <w:sz w:val="20"/>
          <w:szCs w:val="20"/>
        </w:rPr>
        <w:t xml:space="preserve">, valamit a tanulók </w:t>
      </w:r>
      <w:r>
        <w:rPr>
          <w:sz w:val="20"/>
          <w:szCs w:val="20"/>
        </w:rPr>
        <w:t>egy rövid szakmai látogatást tettek a Múzslai farmon,</w:t>
      </w:r>
      <w:r w:rsidRPr="00356282">
        <w:rPr>
          <w:sz w:val="20"/>
          <w:szCs w:val="20"/>
        </w:rPr>
        <w:t xml:space="preserve"> a kiválasztott tanegységek digitalizácíója mellett.</w:t>
      </w:r>
      <w:proofErr w:type="gramEnd"/>
    </w:p>
    <w:p w:rsidR="00802673" w:rsidRDefault="00356282">
      <w:pPr>
        <w:rPr>
          <w:lang w:val="sr-Cyrl-RS"/>
        </w:rPr>
      </w:pPr>
      <w:r>
        <w:rPr>
          <w:noProof/>
        </w:rPr>
        <w:drawing>
          <wp:inline distT="0" distB="0" distL="0" distR="0">
            <wp:extent cx="4058440" cy="2286000"/>
            <wp:effectExtent l="0" t="0" r="0" b="0"/>
            <wp:docPr id="1" name="Picture 1" descr="E:\novi Erazmus\Agota munkai\oravazlatok2\20241115_16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Agota munkai\oravazlatok2\20241115_164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28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82" w:rsidRDefault="00356282" w:rsidP="00356282">
      <w:pPr>
        <w:jc w:val="center"/>
        <w:rPr>
          <w:lang w:val="sr-Cyrl-RS"/>
        </w:rPr>
      </w:pPr>
      <w:r>
        <w:rPr>
          <w:noProof/>
        </w:rPr>
        <w:drawing>
          <wp:inline distT="0" distB="0" distL="0" distR="0">
            <wp:extent cx="4041530" cy="2276475"/>
            <wp:effectExtent l="0" t="0" r="0" b="0"/>
            <wp:docPr id="2" name="Picture 2" descr="E:\novi Erazmus\Agota munkai\oravazlatok2\20241115_17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ovi Erazmus\Agota munkai\oravazlatok2\20241115_174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067" cy="227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82" w:rsidRDefault="00356282" w:rsidP="00356282">
      <w:pPr>
        <w:jc w:val="right"/>
        <w:rPr>
          <w:lang w:val="sr-Cyrl-RS"/>
        </w:rPr>
      </w:pPr>
      <w:r>
        <w:rPr>
          <w:noProof/>
        </w:rPr>
        <w:drawing>
          <wp:inline distT="0" distB="0" distL="0" distR="0">
            <wp:extent cx="4038600" cy="2274823"/>
            <wp:effectExtent l="0" t="0" r="0" b="0"/>
            <wp:docPr id="3" name="Picture 3" descr="E:\novi Erazmus\Agota munkai\oravazlatok2\20241115_17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vi Erazmus\Agota munkai\oravazlatok2\20241115_173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33" cy="22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82" w:rsidRDefault="00356282" w:rsidP="00356282">
      <w:pPr>
        <w:jc w:val="right"/>
        <w:rPr>
          <w:lang w:val="sr-Cyrl-RS"/>
        </w:rPr>
      </w:pPr>
    </w:p>
    <w:p w:rsidR="00356282" w:rsidRDefault="00356282" w:rsidP="00356282">
      <w:pPr>
        <w:jc w:val="right"/>
        <w:rPr>
          <w:lang w:val="sr-Cyrl-RS"/>
        </w:rPr>
      </w:pPr>
    </w:p>
    <w:p w:rsidR="00356282" w:rsidRDefault="00356282" w:rsidP="00356282">
      <w:pPr>
        <w:jc w:val="right"/>
        <w:rPr>
          <w:lang w:val="sr-Cyrl-RS"/>
        </w:rPr>
      </w:pPr>
    </w:p>
    <w:p w:rsidR="00356282" w:rsidRDefault="00356282" w:rsidP="00356282">
      <w:pPr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4724400" cy="3543300"/>
            <wp:effectExtent l="0" t="0" r="0" b="0"/>
            <wp:docPr id="4" name="Picture 4" descr="E:\novi Erazmus\Agota munkai\oravazlatok2\f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ovi Erazmus\Agota munkai\oravazlatok2\far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54" w:rsidRDefault="00124154" w:rsidP="00356282">
      <w:pPr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  <w:r>
        <w:rPr>
          <w:noProof/>
        </w:rPr>
        <w:drawing>
          <wp:inline distT="0" distB="0" distL="0" distR="0">
            <wp:extent cx="4762500" cy="3571875"/>
            <wp:effectExtent l="0" t="0" r="0" b="9525"/>
            <wp:docPr id="5" name="Picture 5" descr="E:\novi Erazmus\Agota munkai\oravazlatok2\far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ovi Erazmus\Agota munkai\oravazlatok2\farm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54" w:rsidRDefault="00124154" w:rsidP="00124154">
      <w:pPr>
        <w:jc w:val="right"/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6" name="Picture 6" descr="E:\novi Erazmus\Agota munkai\oravazlatok2\far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novi Erazmus\Agota munkai\oravazlatok2\farm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54" w:rsidRDefault="00124154" w:rsidP="00124154">
      <w:pPr>
        <w:jc w:val="right"/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  <w:r>
        <w:rPr>
          <w:noProof/>
        </w:rPr>
        <w:drawing>
          <wp:inline distT="0" distB="0" distL="0" distR="0" wp14:anchorId="16F01F4D" wp14:editId="14ED82D9">
            <wp:extent cx="5943600" cy="3346177"/>
            <wp:effectExtent l="0" t="0" r="0" b="6985"/>
            <wp:docPr id="7" name="Picture 7" descr="E:\novi Erazmus\Agota munkai\oravazlatok2\ltt2 csoportk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novi Erazmus\Agota munkai\oravazlatok2\ltt2 csoportke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54" w:rsidRDefault="00124154" w:rsidP="00124154">
      <w:pPr>
        <w:jc w:val="right"/>
        <w:rPr>
          <w:noProof/>
          <w:lang w:val="sr-Cyrl-RS"/>
        </w:rPr>
      </w:pPr>
    </w:p>
    <w:p w:rsidR="00124154" w:rsidRDefault="00124154" w:rsidP="00124154">
      <w:pPr>
        <w:jc w:val="right"/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8" name="Picture 8" descr="E:\novi Erazmus\Agota munkai\oravazlatok2\ltt2 faulte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novi Erazmus\Agota munkai\oravazlatok2\ltt2 faultet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154" w:rsidRPr="00356282" w:rsidRDefault="00124154" w:rsidP="00124154">
      <w:pPr>
        <w:jc w:val="right"/>
        <w:rPr>
          <w:lang w:val="sr-Cyrl-RS"/>
        </w:rPr>
      </w:pPr>
      <w:bookmarkStart w:id="0" w:name="_GoBack"/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9" name="Picture 9" descr="E:\novi Erazmus\Agota munkai\oravazlatok2\ltt2  5 csoport sertifikatok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novi Erazmus\Agota munkai\oravazlatok2\ltt2  5 csoport sertifikatokka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4154" w:rsidRPr="00356282" w:rsidSect="00356282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82"/>
    <w:rsid w:val="00124154"/>
    <w:rsid w:val="00356282"/>
    <w:rsid w:val="0080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5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6282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35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5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6282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356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1</cp:revision>
  <dcterms:created xsi:type="dcterms:W3CDTF">2026-01-20T13:37:00Z</dcterms:created>
  <dcterms:modified xsi:type="dcterms:W3CDTF">2026-01-20T15:03:00Z</dcterms:modified>
</cp:coreProperties>
</file>